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C1" w:rsidRPr="00B411A0" w:rsidRDefault="00685DA5" w:rsidP="00B411A0">
      <w:pPr>
        <w:jc w:val="center"/>
        <w:rPr>
          <w:b/>
        </w:rPr>
      </w:pPr>
      <w:r w:rsidRPr="00B411A0">
        <w:rPr>
          <w:b/>
        </w:rPr>
        <w:t>IFAC Pilot Industry Committee Member Survey</w:t>
      </w:r>
      <w:r w:rsidR="001A4A87">
        <w:rPr>
          <w:b/>
        </w:rPr>
        <w:t xml:space="preserve">:  </w:t>
      </w:r>
      <w:r w:rsidR="00B411A0" w:rsidRPr="00B411A0">
        <w:rPr>
          <w:b/>
        </w:rPr>
        <w:t>Impact of Advanced Control Technologies</w:t>
      </w:r>
    </w:p>
    <w:p w:rsidR="00685DA5" w:rsidRDefault="00685DA5">
      <w:r>
        <w:t>Thank you for agreeing to serve on the IFAC Pilot Industry Committee.  As our first activity we ask you to complete this survey.</w:t>
      </w:r>
      <w:r w:rsidR="006A0D18">
        <w:t xml:space="preserve">  We will review results with all of </w:t>
      </w:r>
      <w:r w:rsidR="00B411A0">
        <w:t xml:space="preserve">you and </w:t>
      </w:r>
      <w:r w:rsidR="001A4A87">
        <w:t xml:space="preserve">also </w:t>
      </w:r>
      <w:r w:rsidR="00B411A0">
        <w:t xml:space="preserve">summarize them for </w:t>
      </w:r>
      <w:r w:rsidR="001A4A87">
        <w:t xml:space="preserve">broader dissemination.  </w:t>
      </w:r>
      <w:r w:rsidR="00F1791B">
        <w:t>Please</w:t>
      </w:r>
      <w:r w:rsidR="001A4A87">
        <w:t xml:space="preserve"> identify yourself in case we </w:t>
      </w:r>
      <w:r w:rsidR="00F1791B">
        <w:t>need</w:t>
      </w:r>
      <w:r w:rsidR="001A4A87">
        <w:t xml:space="preserve"> clarifications.  However, your responses will be treated </w:t>
      </w:r>
      <w:r w:rsidR="00361607">
        <w:t>anonymously in reviews and summaries.</w:t>
      </w:r>
      <w:r w:rsidR="00893ED8">
        <w:t xml:space="preserve">  </w:t>
      </w:r>
      <w:r w:rsidR="00893ED8" w:rsidRPr="00893ED8">
        <w:rPr>
          <w:u w:val="single"/>
        </w:rPr>
        <w:t>Please return to</w:t>
      </w:r>
      <w:r w:rsidR="00893ED8" w:rsidRPr="006D547E">
        <w:t xml:space="preserve"> </w:t>
      </w:r>
      <w:hyperlink r:id="rId7" w:history="1">
        <w:r w:rsidR="006D547E" w:rsidRPr="007C626F">
          <w:rPr>
            <w:rStyle w:val="Hyperlink"/>
          </w:rPr>
          <w:t>secretariat@ifac-control.org</w:t>
        </w:r>
      </w:hyperlink>
      <w:r w:rsidR="006D547E">
        <w:t xml:space="preserve"> </w:t>
      </w:r>
      <w:r w:rsidR="00893ED8" w:rsidRPr="00893ED8">
        <w:rPr>
          <w:u w:val="single"/>
        </w:rPr>
        <w:t xml:space="preserve"> by </w:t>
      </w:r>
      <w:r w:rsidR="006D547E">
        <w:rPr>
          <w:u w:val="single"/>
        </w:rPr>
        <w:t>22</w:t>
      </w:r>
      <w:r w:rsidR="00761FB2">
        <w:rPr>
          <w:u w:val="single"/>
        </w:rPr>
        <w:t xml:space="preserve"> May 2015</w:t>
      </w:r>
      <w:r w:rsidR="00893ED8" w:rsidRPr="00893ED8">
        <w:rPr>
          <w:u w:val="single"/>
        </w:rPr>
        <w:t>.</w:t>
      </w:r>
    </w:p>
    <w:p w:rsidR="00685DA5" w:rsidRDefault="00685DA5">
      <w:r>
        <w:t xml:space="preserve">If you have any questions </w:t>
      </w:r>
      <w:r w:rsidR="001A4A87">
        <w:t xml:space="preserve">on the survey </w:t>
      </w:r>
      <w:r>
        <w:t>please contact any of the following: Tariq Samad (</w:t>
      </w:r>
      <w:hyperlink r:id="rId8" w:history="1">
        <w:r w:rsidR="006D547E" w:rsidRPr="007C626F">
          <w:rPr>
            <w:rStyle w:val="Hyperlink"/>
          </w:rPr>
          <w:t>tariq.samad@honeywell.com</w:t>
        </w:r>
      </w:hyperlink>
      <w:r w:rsidR="006D547E">
        <w:t xml:space="preserve">); </w:t>
      </w:r>
      <w:r>
        <w:t>Serge Boverie (</w:t>
      </w:r>
      <w:hyperlink r:id="rId9" w:history="1">
        <w:r w:rsidRPr="00D64593">
          <w:rPr>
            <w:rStyle w:val="Hyperlink"/>
          </w:rPr>
          <w:t>Serge.Boverie@continental-corporation.com</w:t>
        </w:r>
      </w:hyperlink>
      <w:r>
        <w:t>); Roger Goodall (</w:t>
      </w:r>
      <w:hyperlink r:id="rId10" w:history="1">
        <w:r w:rsidRPr="00D64593">
          <w:rPr>
            <w:rStyle w:val="Hyperlink"/>
          </w:rPr>
          <w:t>R.M.Goodall@lboro.ac.uk</w:t>
        </w:r>
      </w:hyperlink>
      <w:r>
        <w:t>).</w:t>
      </w:r>
    </w:p>
    <w:p w:rsidR="00685DA5" w:rsidRDefault="00685DA5">
      <w:r w:rsidRPr="001A4A87">
        <w:rPr>
          <w:i/>
        </w:rPr>
        <w:t>Your name</w:t>
      </w:r>
      <w:proofErr w:type="gramStart"/>
      <w:r w:rsidRPr="001A4A87">
        <w:rPr>
          <w:i/>
        </w:rPr>
        <w:t>:</w:t>
      </w:r>
      <w:r w:rsidR="00B411A0">
        <w:t>_</w:t>
      </w:r>
      <w:proofErr w:type="gramEnd"/>
      <w:r w:rsidR="00B411A0">
        <w:t>______________________________________</w:t>
      </w:r>
    </w:p>
    <w:p w:rsidR="00B411A0" w:rsidRDefault="00B411A0">
      <w:r w:rsidRPr="001A4A87">
        <w:rPr>
          <w:i/>
        </w:rPr>
        <w:t>Your e-mail:</w:t>
      </w:r>
      <w:r>
        <w:t>_______________________________________</w:t>
      </w:r>
    </w:p>
    <w:p w:rsidR="009611D1" w:rsidRDefault="00685DA5">
      <w:r w:rsidRPr="001A4A87">
        <w:rPr>
          <w:i/>
        </w:rPr>
        <w:t>Are you associated with industry (I), academia (A), or government (G):</w:t>
      </w:r>
      <w:r>
        <w:t xml:space="preserve"> </w:t>
      </w:r>
      <w:r w:rsidR="00B411A0">
        <w:t>___</w:t>
      </w:r>
      <w:proofErr w:type="gramStart"/>
      <w:r w:rsidR="00B411A0">
        <w:t>_</w:t>
      </w:r>
      <w:proofErr w:type="gramEnd"/>
    </w:p>
    <w:p w:rsidR="002D5C20" w:rsidRPr="001A4A87" w:rsidRDefault="0043003B">
      <w:pPr>
        <w:rPr>
          <w:i/>
        </w:rPr>
      </w:pPr>
      <w:r>
        <w:rPr>
          <w:i/>
        </w:rPr>
        <w:t>Question 1:  A</w:t>
      </w:r>
      <w:r w:rsidR="00F1791B">
        <w:rPr>
          <w:i/>
        </w:rPr>
        <w:t>ssessment of adv</w:t>
      </w:r>
      <w:r>
        <w:rPr>
          <w:i/>
        </w:rPr>
        <w:t>anced control technology impact (p</w:t>
      </w:r>
      <w:r w:rsidR="002D5C20" w:rsidRPr="001A4A87">
        <w:rPr>
          <w:i/>
        </w:rPr>
        <w:t xml:space="preserve">lease </w:t>
      </w:r>
      <w:proofErr w:type="gramStart"/>
      <w:r w:rsidR="002D5C20" w:rsidRPr="001A4A87">
        <w:rPr>
          <w:i/>
        </w:rPr>
        <w:t>select</w:t>
      </w:r>
      <w:proofErr w:type="gramEnd"/>
      <w:r w:rsidR="002D5C20" w:rsidRPr="001A4A87">
        <w:rPr>
          <w:i/>
        </w:rPr>
        <w:t xml:space="preserve"> one check-box in each row</w:t>
      </w:r>
      <w:r w:rsidR="00B411A0" w:rsidRPr="001A4A87">
        <w:rPr>
          <w:i/>
        </w:rPr>
        <w:t>; see below for explanations of terms</w:t>
      </w:r>
      <w:r>
        <w:rPr>
          <w:i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998"/>
        <w:gridCol w:w="1710"/>
        <w:gridCol w:w="1440"/>
        <w:gridCol w:w="1530"/>
        <w:gridCol w:w="1530"/>
        <w:gridCol w:w="1368"/>
      </w:tblGrid>
      <w:tr w:rsidR="009611D1" w:rsidTr="001A1509"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9611D1" w:rsidRPr="009657C1" w:rsidRDefault="009611D1" w:rsidP="00B41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B411A0">
            <w:pPr>
              <w:jc w:val="center"/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High impact—multiple sectors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B411A0">
            <w:pPr>
              <w:jc w:val="center"/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High impact—single sector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B411A0">
            <w:pPr>
              <w:jc w:val="center"/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Medium impact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B411A0">
            <w:pPr>
              <w:jc w:val="center"/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Low impact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B411A0">
            <w:pPr>
              <w:jc w:val="center"/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No impact</w:t>
            </w:r>
          </w:p>
        </w:tc>
      </w:tr>
      <w:tr w:rsidR="009611D1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9611D1" w:rsidRPr="009657C1" w:rsidRDefault="009657C1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PID control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611D1" w:rsidRPr="009657C1" w:rsidRDefault="002E79DF" w:rsidP="006A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611D1" w:rsidRPr="009657C1" w:rsidRDefault="002E79DF" w:rsidP="006A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611D1" w:rsidRPr="009657C1" w:rsidRDefault="002E79DF" w:rsidP="006A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9611D1" w:rsidRPr="009657C1" w:rsidRDefault="002E79DF" w:rsidP="006A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611D1" w:rsidRPr="009657C1" w:rsidRDefault="002E79DF" w:rsidP="006A0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Robust control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Model-predictive control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Adaptive control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 xml:space="preserve">Nonlinear control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 xml:space="preserve">Intelligent control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 w:rsidRPr="009657C1">
              <w:rPr>
                <w:sz w:val="20"/>
                <w:szCs w:val="20"/>
              </w:rPr>
              <w:t>Hybrid dynamical systems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C20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2D5C20" w:rsidRPr="009657C1" w:rsidRDefault="002D5C20" w:rsidP="006A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Discrete-event systems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D5C20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C2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Default="00420366" w:rsidP="006A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Decentralized and/or coordinated control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Pr="009657C1" w:rsidRDefault="00420366" w:rsidP="006A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identification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Pr="009657C1" w:rsidRDefault="00420366" w:rsidP="00F1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 detection and identification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Default="00420366" w:rsidP="00F1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Soft sensing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Default="00420366" w:rsidP="00F1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data analytics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20366" w:rsidTr="001A1509">
        <w:trPr>
          <w:trHeight w:hRule="exact" w:val="576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420366" w:rsidRDefault="00420366" w:rsidP="00F1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advanced control technology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20366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6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3003B" w:rsidRDefault="0043003B" w:rsidP="009A0836"/>
    <w:p w:rsidR="009A0836" w:rsidRPr="001A4A87" w:rsidRDefault="009A0836" w:rsidP="009A0836">
      <w:r w:rsidRPr="001A4A87">
        <w:t>Explanation of “impact” terms:</w:t>
      </w:r>
    </w:p>
    <w:p w:rsidR="009A0836" w:rsidRDefault="009A0836" w:rsidP="009A0836">
      <w:pPr>
        <w:pStyle w:val="ListParagraph"/>
        <w:numPr>
          <w:ilvl w:val="0"/>
          <w:numId w:val="2"/>
        </w:numPr>
      </w:pPr>
      <w:r>
        <w:t>High multi-industry impact:  Substantial benefits in each of several industry sectors; adoption by many companies in different sectors; standard practice in industry</w:t>
      </w:r>
    </w:p>
    <w:p w:rsidR="009A0836" w:rsidRDefault="009A0836" w:rsidP="009A0836">
      <w:pPr>
        <w:pStyle w:val="ListParagraph"/>
        <w:numPr>
          <w:ilvl w:val="0"/>
          <w:numId w:val="2"/>
        </w:numPr>
      </w:pPr>
      <w:r>
        <w:t>High single-industry impact:  Substantial benefits in one industry sector; adoption by many companies in the sector; standard practice in the industry</w:t>
      </w:r>
    </w:p>
    <w:p w:rsidR="009A0836" w:rsidRDefault="009A0836" w:rsidP="009A0836">
      <w:pPr>
        <w:pStyle w:val="ListParagraph"/>
        <w:numPr>
          <w:ilvl w:val="0"/>
          <w:numId w:val="2"/>
        </w:numPr>
      </w:pPr>
      <w:r>
        <w:t>Medium impact:  Significant benefits in one or more industry sectors; adoption by one or two companies; not standard practice</w:t>
      </w:r>
    </w:p>
    <w:p w:rsidR="009A0836" w:rsidRDefault="009A0836" w:rsidP="009A0836">
      <w:pPr>
        <w:pStyle w:val="ListParagraph"/>
        <w:numPr>
          <w:ilvl w:val="0"/>
          <w:numId w:val="2"/>
        </w:numPr>
      </w:pPr>
      <w:r>
        <w:t>Low impact:  A few successful applications in one or more companies/industries</w:t>
      </w:r>
    </w:p>
    <w:p w:rsidR="009A0836" w:rsidRDefault="009A0836" w:rsidP="009A0836">
      <w:pPr>
        <w:pStyle w:val="ListParagraph"/>
        <w:numPr>
          <w:ilvl w:val="0"/>
          <w:numId w:val="2"/>
        </w:numPr>
      </w:pPr>
      <w:r>
        <w:t>No impact:  Not aware of any successful deployed real-world application</w:t>
      </w:r>
    </w:p>
    <w:p w:rsidR="009A0836" w:rsidRPr="001A4A87" w:rsidRDefault="009A0836" w:rsidP="009A0836">
      <w:r w:rsidRPr="001A4A87">
        <w:t>Explanation of advanced control terms used: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 xml:space="preserve">PID control:  We do not consider PID control an “advanced control” technology but are including it here for calibrating advanced-versus-conventional control. 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Robust control:  Includes H-infinity</w:t>
      </w:r>
      <w:r w:rsidR="00033E1B">
        <w:t>, mu-synthesi</w:t>
      </w:r>
      <w:r w:rsidR="0032016C">
        <w:t>s, LPV</w:t>
      </w:r>
      <w:r w:rsidR="00033E1B">
        <w:t>, and others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Model-predictive control</w:t>
      </w:r>
      <w:r w:rsidR="00251013">
        <w:t>:  All variations included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Adaptive control:  Includes model-reference adaptive control and iterative learning control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Nonlinear control:  Feedback linearization, dynamic inversion, sliding-mode, etc.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Intelligent control:  Includes neural networks, fuzzy logic, and evolutionary computing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Hybrid dynamical systems:  Or hybrid systems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Discrete-event systems:  Includes Petri Nets</w:t>
      </w:r>
    </w:p>
    <w:p w:rsidR="00420366" w:rsidRDefault="00420366" w:rsidP="009A0836">
      <w:pPr>
        <w:pStyle w:val="ListParagraph"/>
        <w:numPr>
          <w:ilvl w:val="0"/>
          <w:numId w:val="1"/>
        </w:numPr>
      </w:pPr>
      <w:r>
        <w:t>Decentralized and/or coordinated control:  Includes agent-based control, consensus algorithms, cooperative control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>System identification:  All flavors included</w:t>
      </w:r>
    </w:p>
    <w:p w:rsidR="009A0836" w:rsidRDefault="009A0836" w:rsidP="009A0836">
      <w:pPr>
        <w:pStyle w:val="ListParagraph"/>
        <w:numPr>
          <w:ilvl w:val="0"/>
          <w:numId w:val="1"/>
        </w:numPr>
      </w:pPr>
      <w:r>
        <w:t xml:space="preserve">Fault detection and identification:  </w:t>
      </w:r>
      <w:r w:rsidR="00033E1B">
        <w:t>Includes fault-tolerant control</w:t>
      </w:r>
    </w:p>
    <w:p w:rsidR="00033E1B" w:rsidRDefault="00033E1B" w:rsidP="009A0836">
      <w:pPr>
        <w:pStyle w:val="ListParagraph"/>
        <w:numPr>
          <w:ilvl w:val="0"/>
          <w:numId w:val="1"/>
        </w:numPr>
      </w:pPr>
      <w:r>
        <w:t>Soft sensing:  Includes virtual sensing, inferential sensing/estimation</w:t>
      </w:r>
    </w:p>
    <w:p w:rsidR="00033E1B" w:rsidRDefault="00033E1B" w:rsidP="009A0836">
      <w:pPr>
        <w:pStyle w:val="ListParagraph"/>
        <w:numPr>
          <w:ilvl w:val="0"/>
          <w:numId w:val="1"/>
        </w:numPr>
      </w:pPr>
      <w:r>
        <w:t>Process data analytics:  Multivariate statistical process control, principal components analysis, partial least squares, etc.</w:t>
      </w:r>
    </w:p>
    <w:p w:rsidR="00AA6A56" w:rsidRDefault="009A0836" w:rsidP="00AA6A56">
      <w:pPr>
        <w:pStyle w:val="ListParagraph"/>
        <w:numPr>
          <w:ilvl w:val="0"/>
          <w:numId w:val="1"/>
        </w:numPr>
      </w:pPr>
      <w:r>
        <w:t>Other advanced control technology:  Please identify the technology you are evaluating if you use this row.  You can add additional rows if desired.</w:t>
      </w:r>
    </w:p>
    <w:p w:rsidR="0043003B" w:rsidRDefault="0043003B">
      <w:pPr>
        <w:rPr>
          <w:i/>
        </w:rPr>
      </w:pPr>
      <w:r>
        <w:rPr>
          <w:i/>
        </w:rPr>
        <w:br w:type="page"/>
      </w:r>
    </w:p>
    <w:p w:rsidR="00F1791B" w:rsidRPr="00F1791B" w:rsidRDefault="00F1791B">
      <w:pPr>
        <w:rPr>
          <w:i/>
        </w:rPr>
      </w:pPr>
      <w:r w:rsidRPr="00F1791B">
        <w:rPr>
          <w:i/>
        </w:rPr>
        <w:lastRenderedPageBreak/>
        <w:t>Question 2</w:t>
      </w:r>
      <w:r w:rsidR="0043003B">
        <w:rPr>
          <w:i/>
        </w:rPr>
        <w:t>:  C</w:t>
      </w:r>
      <w:r>
        <w:rPr>
          <w:i/>
        </w:rPr>
        <w:t xml:space="preserve">hallenges for </w:t>
      </w:r>
      <w:r w:rsidR="0032016C">
        <w:rPr>
          <w:i/>
        </w:rPr>
        <w:t xml:space="preserve">industry applications of </w:t>
      </w:r>
      <w:r w:rsidR="0043003B">
        <w:rPr>
          <w:i/>
        </w:rPr>
        <w:t>advanced control (p</w:t>
      </w:r>
      <w:r w:rsidRPr="00F1791B">
        <w:rPr>
          <w:i/>
        </w:rPr>
        <w:t xml:space="preserve">lease </w:t>
      </w:r>
      <w:r w:rsidR="008B0E9F">
        <w:rPr>
          <w:i/>
        </w:rPr>
        <w:t>check</w:t>
      </w:r>
      <w:r w:rsidR="00AA6A56">
        <w:rPr>
          <w:i/>
        </w:rPr>
        <w:t xml:space="preserve"> one box in each row</w:t>
      </w:r>
      <w:r w:rsidR="0043003B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320"/>
        <w:gridCol w:w="907"/>
        <w:gridCol w:w="907"/>
        <w:gridCol w:w="907"/>
        <w:gridCol w:w="922"/>
        <w:gridCol w:w="907"/>
      </w:tblGrid>
      <w:tr w:rsidR="00F1791B" w:rsidTr="001A1509">
        <w:tc>
          <w:tcPr>
            <w:tcW w:w="43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F1791B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F1791B" w:rsidP="00251013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 xml:space="preserve">Industry lacks </w:t>
            </w:r>
            <w:r w:rsidR="009A0836" w:rsidRPr="0043003B">
              <w:rPr>
                <w:sz w:val="20"/>
                <w:szCs w:val="20"/>
              </w:rPr>
              <w:t xml:space="preserve">staff </w:t>
            </w:r>
            <w:r w:rsidR="00251013" w:rsidRPr="0043003B">
              <w:rPr>
                <w:sz w:val="20"/>
                <w:szCs w:val="20"/>
              </w:rPr>
              <w:t>with</w:t>
            </w:r>
            <w:r w:rsidR="009A0836" w:rsidRPr="0043003B">
              <w:rPr>
                <w:sz w:val="20"/>
                <w:szCs w:val="20"/>
              </w:rPr>
              <w:t xml:space="preserve"> </w:t>
            </w:r>
            <w:r w:rsidRPr="0043003B">
              <w:rPr>
                <w:sz w:val="20"/>
                <w:szCs w:val="20"/>
              </w:rPr>
              <w:t xml:space="preserve">the technical competency in advanced control </w:t>
            </w:r>
            <w:r w:rsidR="00251013" w:rsidRPr="0043003B">
              <w:rPr>
                <w:sz w:val="20"/>
                <w:szCs w:val="20"/>
              </w:rPr>
              <w:t xml:space="preserve">that is </w:t>
            </w:r>
            <w:r w:rsidR="009A0836" w:rsidRPr="0043003B">
              <w:rPr>
                <w:sz w:val="20"/>
                <w:szCs w:val="20"/>
              </w:rPr>
              <w:t>require</w:t>
            </w:r>
            <w:r w:rsidR="00AA6A56" w:rsidRPr="0043003B">
              <w:rPr>
                <w:sz w:val="20"/>
                <w:szCs w:val="20"/>
              </w:rPr>
              <w:t>d</w:t>
            </w:r>
            <w:r w:rsidRPr="0043003B">
              <w:rPr>
                <w:sz w:val="20"/>
                <w:szCs w:val="20"/>
              </w:rPr>
              <w:t xml:space="preserve"> for </w:t>
            </w:r>
            <w:r w:rsidR="009A0836" w:rsidRPr="0043003B">
              <w:rPr>
                <w:sz w:val="20"/>
                <w:szCs w:val="20"/>
              </w:rPr>
              <w:t xml:space="preserve">high-impact </w:t>
            </w:r>
            <w:r w:rsidRPr="0043003B">
              <w:rPr>
                <w:sz w:val="20"/>
                <w:szCs w:val="20"/>
              </w:rPr>
              <w:t>applications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F1791B" w:rsidP="00F1791B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 xml:space="preserve">Control researchers are </w:t>
            </w:r>
            <w:r w:rsidR="00AA6A56" w:rsidRPr="0043003B">
              <w:rPr>
                <w:sz w:val="20"/>
                <w:szCs w:val="20"/>
              </w:rPr>
              <w:t xml:space="preserve">much </w:t>
            </w:r>
            <w:r w:rsidRPr="0043003B">
              <w:rPr>
                <w:sz w:val="20"/>
                <w:szCs w:val="20"/>
              </w:rPr>
              <w:t>poor</w:t>
            </w:r>
            <w:r w:rsidR="00AA6A56" w:rsidRPr="0043003B">
              <w:rPr>
                <w:sz w:val="20"/>
                <w:szCs w:val="20"/>
              </w:rPr>
              <w:t>er than researchers in other fields</w:t>
            </w:r>
            <w:r w:rsidRPr="0043003B">
              <w:rPr>
                <w:sz w:val="20"/>
                <w:szCs w:val="20"/>
              </w:rPr>
              <w:t xml:space="preserve"> at communicating their ideas and results to industry management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9A0836" w:rsidP="009A0836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The maturity or readiness level of r</w:t>
            </w:r>
            <w:r w:rsidR="00F1791B" w:rsidRPr="0043003B">
              <w:rPr>
                <w:sz w:val="20"/>
                <w:szCs w:val="20"/>
              </w:rPr>
              <w:t xml:space="preserve">esults of advanced control research </w:t>
            </w:r>
            <w:r w:rsidRPr="0043003B">
              <w:rPr>
                <w:sz w:val="20"/>
                <w:szCs w:val="20"/>
              </w:rPr>
              <w:t xml:space="preserve">is </w:t>
            </w:r>
            <w:r w:rsidR="00F1791B" w:rsidRPr="0043003B">
              <w:rPr>
                <w:sz w:val="20"/>
                <w:szCs w:val="20"/>
              </w:rPr>
              <w:t xml:space="preserve">too </w:t>
            </w:r>
            <w:r w:rsidRPr="0043003B">
              <w:rPr>
                <w:sz w:val="20"/>
                <w:szCs w:val="20"/>
              </w:rPr>
              <w:t xml:space="preserve">low for </w:t>
            </w:r>
            <w:r w:rsidR="00F1791B" w:rsidRPr="0043003B">
              <w:rPr>
                <w:sz w:val="20"/>
                <w:szCs w:val="20"/>
              </w:rPr>
              <w:t>attract</w:t>
            </w:r>
            <w:r w:rsidRPr="0043003B">
              <w:rPr>
                <w:sz w:val="20"/>
                <w:szCs w:val="20"/>
              </w:rPr>
              <w:t>ing</w:t>
            </w:r>
            <w:r w:rsidR="00F1791B" w:rsidRPr="0043003B">
              <w:rPr>
                <w:sz w:val="20"/>
                <w:szCs w:val="20"/>
              </w:rPr>
              <w:t xml:space="preserve"> industry interest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43003B">
        <w:trPr>
          <w:trHeight w:val="69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9A0836" w:rsidP="009A0836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Advanced control has limited relevance to problems facing industries and their customers</w:t>
            </w:r>
            <w:r w:rsidR="00F1791B" w:rsidRPr="004300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804653" w:rsidP="009A0836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The conflict between industry deadlines and academic research timelines is worse in control than in related engineering fields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033E1B" w:rsidP="00033E1B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Control r</w:t>
            </w:r>
            <w:r w:rsidR="00AA6A56" w:rsidRPr="0043003B">
              <w:rPr>
                <w:sz w:val="20"/>
                <w:szCs w:val="20"/>
              </w:rPr>
              <w:t xml:space="preserve">esearchers </w:t>
            </w:r>
            <w:r w:rsidRPr="0043003B">
              <w:rPr>
                <w:sz w:val="20"/>
                <w:szCs w:val="20"/>
              </w:rPr>
              <w:t>place too much emphasis</w:t>
            </w:r>
            <w:r w:rsidR="00AA6A56" w:rsidRPr="0043003B">
              <w:rPr>
                <w:sz w:val="20"/>
                <w:szCs w:val="20"/>
              </w:rPr>
              <w:t xml:space="preserve"> on applied mathematics or advanced algorithms</w:t>
            </w:r>
            <w:r w:rsidR="00F1791B" w:rsidRPr="0043003B">
              <w:rPr>
                <w:sz w:val="20"/>
                <w:szCs w:val="20"/>
              </w:rPr>
              <w:t xml:space="preserve"> </w:t>
            </w:r>
            <w:r w:rsidR="00AA6A56" w:rsidRPr="0043003B">
              <w:rPr>
                <w:sz w:val="20"/>
                <w:szCs w:val="20"/>
              </w:rPr>
              <w:t xml:space="preserve">whereas successful </w:t>
            </w:r>
            <w:r w:rsidRPr="0043003B">
              <w:rPr>
                <w:sz w:val="20"/>
                <w:szCs w:val="20"/>
              </w:rPr>
              <w:t xml:space="preserve">industry </w:t>
            </w:r>
            <w:r w:rsidR="00AA6A56" w:rsidRPr="0043003B">
              <w:rPr>
                <w:sz w:val="20"/>
                <w:szCs w:val="20"/>
              </w:rPr>
              <w:t>applications require deep domain knowledge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791B" w:rsidTr="001A1509">
        <w:trPr>
          <w:trHeight w:val="8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43003B" w:rsidRDefault="00FF4067" w:rsidP="00F1791B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Control researchers place too little emphasis on plant/process modeling and model-development methodologies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91B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1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E9F" w:rsidTr="0043003B">
        <w:trPr>
          <w:trHeight w:val="67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43003B" w:rsidRDefault="0043003B" w:rsidP="0043003B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Control s</w:t>
            </w:r>
            <w:r w:rsidR="008B0E9F" w:rsidRPr="0043003B">
              <w:rPr>
                <w:sz w:val="20"/>
                <w:szCs w:val="20"/>
              </w:rPr>
              <w:t xml:space="preserve">tudents (undergraduate and graduate) are not sufficiently exposed to </w:t>
            </w:r>
            <w:r w:rsidRPr="0043003B">
              <w:rPr>
                <w:sz w:val="20"/>
                <w:szCs w:val="20"/>
              </w:rPr>
              <w:t xml:space="preserve">industry </w:t>
            </w:r>
            <w:r w:rsidR="008B0E9F" w:rsidRPr="0043003B">
              <w:rPr>
                <w:sz w:val="20"/>
                <w:szCs w:val="20"/>
              </w:rPr>
              <w:t>problems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E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E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E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E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0E9F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E9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4653" w:rsidTr="00761FB2">
        <w:trPr>
          <w:trHeight w:val="6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43003B" w:rsidRDefault="00804653" w:rsidP="003B10AA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The academic control community is not seriously interested in collaboration with industry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3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4653" w:rsidTr="0043003B">
        <w:trPr>
          <w:trHeight w:val="64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43003B" w:rsidRDefault="00804653" w:rsidP="008B0E9F">
            <w:pPr>
              <w:rPr>
                <w:sz w:val="20"/>
                <w:szCs w:val="20"/>
              </w:rPr>
            </w:pPr>
            <w:r w:rsidRPr="0043003B">
              <w:rPr>
                <w:sz w:val="20"/>
                <w:szCs w:val="20"/>
              </w:rPr>
              <w:t>There is no problem—advanced control is successful and appreciated in relevant industries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653" w:rsidRPr="009657C1" w:rsidRDefault="002E79DF" w:rsidP="00F17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5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3003B" w:rsidRDefault="0043003B" w:rsidP="0043003B"/>
    <w:p w:rsidR="0043003B" w:rsidRPr="00F1791B" w:rsidRDefault="0043003B" w:rsidP="0043003B">
      <w:pPr>
        <w:rPr>
          <w:i/>
        </w:rPr>
      </w:pPr>
      <w:r w:rsidRPr="00F1791B">
        <w:rPr>
          <w:i/>
        </w:rPr>
        <w:t xml:space="preserve">Question </w:t>
      </w:r>
      <w:r>
        <w:rPr>
          <w:i/>
        </w:rPr>
        <w:t>3:  General comments including suggestions for areas of focus for the Pilot Industry Committee (</w:t>
      </w:r>
      <w:r w:rsidR="00761FB2">
        <w:rPr>
          <w:i/>
        </w:rPr>
        <w:t>please enter any comments; optional</w:t>
      </w:r>
      <w:r w:rsidR="00B90688">
        <w:rPr>
          <w:i/>
        </w:rPr>
        <w:t>)</w:t>
      </w:r>
    </w:p>
    <w:p w:rsidR="0043003B" w:rsidRDefault="0043003B" w:rsidP="00254118">
      <w:r>
        <w:t>____________________________________________________________________________________</w:t>
      </w:r>
    </w:p>
    <w:p w:rsidR="0043003B" w:rsidRDefault="0043003B" w:rsidP="00254118">
      <w:r>
        <w:t>____________________________________________________________________________________</w:t>
      </w:r>
    </w:p>
    <w:p w:rsidR="0043003B" w:rsidRDefault="0043003B" w:rsidP="0043003B">
      <w:r>
        <w:t>____________________________________________________________________________________</w:t>
      </w:r>
    </w:p>
    <w:p w:rsidR="0043003B" w:rsidRDefault="0043003B" w:rsidP="0043003B">
      <w:r>
        <w:t>____________________________________________________________________________________</w:t>
      </w:r>
    </w:p>
    <w:p w:rsidR="00251013" w:rsidRPr="006D547E" w:rsidRDefault="00251013" w:rsidP="00254118">
      <w:r w:rsidRPr="006D547E">
        <w:t xml:space="preserve">Please return your completed survey to </w:t>
      </w:r>
      <w:hyperlink r:id="rId11" w:history="1">
        <w:r w:rsidR="006D547E" w:rsidRPr="006D547E">
          <w:rPr>
            <w:rStyle w:val="Hyperlink"/>
            <w:u w:val="none"/>
          </w:rPr>
          <w:t>secretariat@ifac-control.org</w:t>
        </w:r>
      </w:hyperlink>
      <w:r w:rsidR="006D547E" w:rsidRPr="006D547E">
        <w:t xml:space="preserve">  by </w:t>
      </w:r>
      <w:r w:rsidR="006D547E">
        <w:t>Friday, 22</w:t>
      </w:r>
      <w:r w:rsidR="006D547E" w:rsidRPr="006D547E">
        <w:t xml:space="preserve"> May 2015</w:t>
      </w:r>
      <w:r w:rsidR="006D547E">
        <w:t>.</w:t>
      </w:r>
    </w:p>
    <w:sectPr w:rsidR="00251013" w:rsidRPr="006D547E" w:rsidSect="008950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AA" w:rsidRDefault="00A632AA" w:rsidP="00A72045">
      <w:pPr>
        <w:spacing w:after="0" w:line="240" w:lineRule="auto"/>
      </w:pPr>
      <w:r>
        <w:separator/>
      </w:r>
    </w:p>
  </w:endnote>
  <w:endnote w:type="continuationSeparator" w:id="0">
    <w:p w:rsidR="00A632AA" w:rsidRDefault="00A632AA" w:rsidP="00A7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45" w:rsidRPr="00764A59" w:rsidRDefault="0089504A" w:rsidP="0089504A">
    <w:pPr>
      <w:pStyle w:val="Footer"/>
      <w:pBdr>
        <w:top w:val="inset" w:sz="6" w:space="6" w:color="7F7F7F" w:themeColor="text1" w:themeTint="80"/>
      </w:pBdr>
      <w:rPr>
        <w:color w:val="7F7F7F" w:themeColor="text1" w:themeTint="80"/>
        <w:sz w:val="18"/>
      </w:rPr>
    </w:pPr>
    <w:r w:rsidRPr="00764A59">
      <w:rPr>
        <w:color w:val="7F7F7F" w:themeColor="text1" w:themeTint="80"/>
        <w:sz w:val="18"/>
      </w:rPr>
      <w:t>28 April 2015</w:t>
    </w:r>
    <w:r w:rsidRPr="00764A59">
      <w:rPr>
        <w:color w:val="7F7F7F" w:themeColor="text1" w:themeTint="80"/>
        <w:sz w:val="18"/>
      </w:rPr>
      <w:ptab w:relativeTo="margin" w:alignment="right" w:leader="none"/>
    </w:r>
    <w:r w:rsidRPr="00764A59">
      <w:rPr>
        <w:color w:val="7F7F7F" w:themeColor="text1" w:themeTint="80"/>
        <w:sz w:val="18"/>
      </w:rPr>
      <w:t xml:space="preserve">Page </w:t>
    </w:r>
    <w:r w:rsidRPr="00764A59">
      <w:rPr>
        <w:color w:val="7F7F7F" w:themeColor="text1" w:themeTint="80"/>
        <w:sz w:val="18"/>
      </w:rPr>
      <w:fldChar w:fldCharType="begin"/>
    </w:r>
    <w:r w:rsidRPr="00764A59">
      <w:rPr>
        <w:color w:val="7F7F7F" w:themeColor="text1" w:themeTint="80"/>
        <w:sz w:val="18"/>
      </w:rPr>
      <w:instrText xml:space="preserve"> PAGE   \* MERGEFORMAT </w:instrText>
    </w:r>
    <w:r w:rsidRPr="00764A59">
      <w:rPr>
        <w:color w:val="7F7F7F" w:themeColor="text1" w:themeTint="80"/>
        <w:sz w:val="18"/>
      </w:rPr>
      <w:fldChar w:fldCharType="separate"/>
    </w:r>
    <w:r w:rsidR="00764A59">
      <w:rPr>
        <w:noProof/>
        <w:color w:val="7F7F7F" w:themeColor="text1" w:themeTint="80"/>
        <w:sz w:val="18"/>
      </w:rPr>
      <w:t>3</w:t>
    </w:r>
    <w:r w:rsidRPr="00764A59">
      <w:rPr>
        <w:color w:val="7F7F7F" w:themeColor="text1" w:themeTint="80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AA" w:rsidRDefault="00A632AA" w:rsidP="00A72045">
      <w:pPr>
        <w:spacing w:after="0" w:line="240" w:lineRule="auto"/>
      </w:pPr>
      <w:r>
        <w:separator/>
      </w:r>
    </w:p>
  </w:footnote>
  <w:footnote w:type="continuationSeparator" w:id="0">
    <w:p w:rsidR="00A632AA" w:rsidRDefault="00A632AA" w:rsidP="00A7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9" w:rsidRDefault="00764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515F"/>
    <w:multiLevelType w:val="hybridMultilevel"/>
    <w:tmpl w:val="C9E6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955"/>
    <w:multiLevelType w:val="hybridMultilevel"/>
    <w:tmpl w:val="BEA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formsDesign/>
  <w:defaultTabStop w:val="720"/>
  <w:doNotShadeFormData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11D1"/>
    <w:rsid w:val="00020882"/>
    <w:rsid w:val="00033E1B"/>
    <w:rsid w:val="000C6A6B"/>
    <w:rsid w:val="001A1509"/>
    <w:rsid w:val="001A4A87"/>
    <w:rsid w:val="00251013"/>
    <w:rsid w:val="00254118"/>
    <w:rsid w:val="002573C3"/>
    <w:rsid w:val="002D5C20"/>
    <w:rsid w:val="002E79DF"/>
    <w:rsid w:val="003138D8"/>
    <w:rsid w:val="0032016C"/>
    <w:rsid w:val="00361607"/>
    <w:rsid w:val="00365744"/>
    <w:rsid w:val="003B0E33"/>
    <w:rsid w:val="00420366"/>
    <w:rsid w:val="0043003B"/>
    <w:rsid w:val="00685DA5"/>
    <w:rsid w:val="00693BCE"/>
    <w:rsid w:val="006A0D18"/>
    <w:rsid w:val="006D547E"/>
    <w:rsid w:val="006E5F1E"/>
    <w:rsid w:val="00761FB2"/>
    <w:rsid w:val="00764A59"/>
    <w:rsid w:val="00804653"/>
    <w:rsid w:val="00857BFE"/>
    <w:rsid w:val="00893ED8"/>
    <w:rsid w:val="0089504A"/>
    <w:rsid w:val="008B0E9F"/>
    <w:rsid w:val="008F7054"/>
    <w:rsid w:val="009611D1"/>
    <w:rsid w:val="009657C1"/>
    <w:rsid w:val="009A0836"/>
    <w:rsid w:val="00A632AA"/>
    <w:rsid w:val="00A72045"/>
    <w:rsid w:val="00AA6A56"/>
    <w:rsid w:val="00B411A0"/>
    <w:rsid w:val="00B90688"/>
    <w:rsid w:val="00DB3162"/>
    <w:rsid w:val="00E4301E"/>
    <w:rsid w:val="00E9188A"/>
    <w:rsid w:val="00F07098"/>
    <w:rsid w:val="00F1791B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45"/>
  </w:style>
  <w:style w:type="paragraph" w:styleId="Footer">
    <w:name w:val="footer"/>
    <w:basedOn w:val="Normal"/>
    <w:link w:val="FooterChar"/>
    <w:uiPriority w:val="99"/>
    <w:unhideWhenUsed/>
    <w:rsid w:val="00A7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45"/>
  </w:style>
  <w:style w:type="paragraph" w:styleId="BalloonText">
    <w:name w:val="Balloon Text"/>
    <w:basedOn w:val="Normal"/>
    <w:link w:val="BalloonTextChar"/>
    <w:uiPriority w:val="99"/>
    <w:semiHidden/>
    <w:unhideWhenUsed/>
    <w:rsid w:val="008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.samad@honeywel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ifac-control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ifac-control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.M.Goodall@lboro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ge.Boverie@continental-corporati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E701357</dc:creator>
  <cp:lastModifiedBy>E701357</cp:lastModifiedBy>
  <cp:revision>7</cp:revision>
  <cp:lastPrinted>2015-04-28T19:30:00Z</cp:lastPrinted>
  <dcterms:created xsi:type="dcterms:W3CDTF">2015-04-28T18:59:00Z</dcterms:created>
  <dcterms:modified xsi:type="dcterms:W3CDTF">2015-04-28T19:38:00Z</dcterms:modified>
</cp:coreProperties>
</file>